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p>
    <w:p>
      <w:pPr>
        <w:spacing w:line="64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定西市</w:t>
      </w:r>
      <w:r>
        <w:rPr>
          <w:rFonts w:hint="eastAsia" w:ascii="方正小标宋简体" w:hAnsi="方正小标宋简体" w:eastAsia="方正小标宋简体" w:cs="方正小标宋简体"/>
          <w:sz w:val="44"/>
          <w:szCs w:val="44"/>
          <w:lang w:val="en-US" w:eastAsia="zh-CN"/>
        </w:rPr>
        <w:t>人民政府</w:t>
      </w:r>
      <w:r>
        <w:rPr>
          <w:rFonts w:hint="eastAsia" w:ascii="方正小标宋简体" w:hAnsi="方正小标宋简体" w:eastAsia="方正小标宋简体" w:cs="方正小标宋简体"/>
          <w:sz w:val="44"/>
          <w:szCs w:val="44"/>
          <w:lang w:eastAsia="zh-CN"/>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lang w:eastAsia="zh-CN"/>
        </w:rPr>
        <w:t>年政府信息公开</w:t>
      </w:r>
    </w:p>
    <w:p>
      <w:pPr>
        <w:spacing w:line="64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工作年度报告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方正黑体简体" w:hAnsi="方正黑体简体" w:eastAsia="方正黑体简体" w:cs="方正黑体简体"/>
          <w:b/>
          <w:bCs/>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根据《中华人民共和国政府信息公开条例》（以下简称《条例》）和《国务院办公厅政府信息与政务公开办公室关于印发&lt;中华人民共和国政府信息公开工作年度报告格式&gt;的通知》（国办公开办函〔2021〕30 号）规定编制本报告。本报告由总体情况、主动公开政府信息情况、收到和处理政府信息公开申请情况、政府信息公开行政复议行政诉讼情况、存在的主要问题及改进情况、其他需要报告的事项六部分组成。报告所列数据统计期限为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年1月1日至202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年12月31日。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方正黑体简体" w:hAnsi="方正黑体简体" w:eastAsia="方正黑体简体" w:cs="方正黑体简体"/>
          <w:b w:val="0"/>
          <w:bCs w:val="0"/>
          <w:sz w:val="32"/>
          <w:szCs w:val="32"/>
        </w:rPr>
      </w:pPr>
      <w:r>
        <w:rPr>
          <w:rFonts w:hint="eastAsia" w:ascii="方正黑体简体" w:hAnsi="方正黑体简体" w:eastAsia="方正黑体简体" w:cs="方正黑体简体"/>
          <w:b w:val="0"/>
          <w:bCs w:val="0"/>
          <w:sz w:val="32"/>
          <w:szCs w:val="32"/>
        </w:rPr>
        <w:t>一、总体情况</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2023年，定西市坚持以习近平新时代中国特色社会主义思想为指导，准确把握新时代政务公开工作的职责定位和面临的形势要求，全环节夯实工作基础、全流程优化政务服务、全链条加强政务信息管理、全方位回应社会关切，着力推动政务公开主要功能从“保障知情权”向“提升服务力”转变，全市</w:t>
      </w:r>
      <w:r>
        <w:rPr>
          <w:rFonts w:hint="eastAsia" w:ascii="仿宋_GB2312" w:hAnsi="仿宋_GB2312" w:eastAsia="仿宋_GB2312" w:cs="仿宋_GB2312"/>
          <w:color w:val="000000"/>
          <w:kern w:val="2"/>
          <w:sz w:val="32"/>
          <w:szCs w:val="32"/>
          <w:lang w:val="en-US" w:eastAsia="zh-CN" w:bidi="ar-SA"/>
        </w:rPr>
        <w:t>政府信息公开工作的“含金量”和“到达率”进一步提升，</w:t>
      </w:r>
      <w:r>
        <w:rPr>
          <w:rFonts w:hint="eastAsia" w:ascii="仿宋_GB2312" w:hAnsi="仿宋_GB2312" w:eastAsia="仿宋_GB2312" w:cs="仿宋_GB2312"/>
          <w:b w:val="0"/>
          <w:bCs w:val="0"/>
          <w:kern w:val="0"/>
          <w:sz w:val="32"/>
          <w:szCs w:val="32"/>
          <w:lang w:val="en-US" w:eastAsia="zh-CN" w:bidi="ar-SA"/>
        </w:rPr>
        <w:t>群众和企业查阅政府信息、获取政务服务、反映自身诉求的渠道更加畅通、流程更加高效、方式更加便捷。</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jc w:val="both"/>
        <w:textAlignment w:val="auto"/>
        <w:rPr>
          <w:rFonts w:hint="eastAsia" w:ascii="仿宋_GB2312" w:hAnsi="楷体" w:eastAsia="仿宋_GB2312" w:cs="楷体"/>
          <w:sz w:val="32"/>
          <w:szCs w:val="32"/>
          <w:lang w:val="en-US" w:eastAsia="zh-CN"/>
        </w:rPr>
      </w:pPr>
      <w:r>
        <w:rPr>
          <w:rFonts w:hint="eastAsia" w:ascii="楷体_GB2312" w:hAnsi="楷体_GB2312" w:eastAsia="楷体_GB2312" w:cs="楷体_GB2312"/>
          <w:b w:val="0"/>
          <w:bCs/>
          <w:i w:val="0"/>
          <w:iCs w:val="0"/>
          <w:color w:val="auto"/>
          <w:sz w:val="32"/>
          <w:szCs w:val="32"/>
          <w:lang w:val="en-US" w:eastAsia="zh-CN"/>
        </w:rPr>
        <w:t>（一）主动公开情况。</w:t>
      </w:r>
      <w:r>
        <w:rPr>
          <w:rFonts w:hint="eastAsia" w:ascii="仿宋_GB2312" w:hAnsi="楷体" w:eastAsia="仿宋_GB2312" w:cs="楷体"/>
          <w:sz w:val="32"/>
          <w:szCs w:val="32"/>
          <w:lang w:val="en-US" w:eastAsia="zh-CN"/>
        </w:rPr>
        <w:t>全市各级各部门主动公开项目建设、教育医疗、稳岗就业、应急预警、环境保护、涉农补贴等各类政府信息15.1万余条，编发出版《定西市人民政府公报》12期，召开新闻发布会、价格听证会、部门开放日等公众参与活动174场次，通过政府门户网站一窗式公开重大决策草案、面向社会征集意见200余次。围绕招商引资、恢复和扩大消费、促进经济健康平稳发展等重点热点领域发布权威信息、解读政策内容，其中采用一图读懂、动漫视频、简明问答等可视化方式开展解读158次，并通过各级政府网站、政务新媒体多元解读、转载转发，确保传播效果。积极推进办事服务公开标准化工作，梳理归集8类341项高频涉企政务服务事项及其办理指南，汇总编制《定西市企业办事一本通》，实现“扫一扫”“掌上查”。依托不来即享惠企政策精准推送及申办平台积极开展政府信息精准推送工作，完善平台对企业政务服务、信息推送和政策兑付等功能，向各类市场主体推送惠企政策5000余条。</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jc w:val="both"/>
        <w:textAlignment w:val="auto"/>
        <w:rPr>
          <w:rFonts w:hint="eastAsia" w:ascii="仿宋_GB2312" w:hAnsi="楷体" w:eastAsia="仿宋_GB2312" w:cs="楷体"/>
          <w:sz w:val="32"/>
          <w:szCs w:val="32"/>
          <w:lang w:val="en-US" w:eastAsia="zh-CN"/>
        </w:rPr>
      </w:pPr>
      <w:r>
        <w:rPr>
          <w:rFonts w:hint="eastAsia" w:ascii="楷体_GB2312" w:hAnsi="楷体_GB2312" w:eastAsia="楷体_GB2312" w:cs="楷体_GB2312"/>
          <w:b w:val="0"/>
          <w:bCs/>
          <w:i w:val="0"/>
          <w:iCs w:val="0"/>
          <w:color w:val="auto"/>
          <w:kern w:val="2"/>
          <w:sz w:val="32"/>
          <w:szCs w:val="32"/>
          <w:lang w:val="en-US" w:eastAsia="zh-CN" w:bidi="ar-SA"/>
        </w:rPr>
        <w:t>（二）依申请公开情况。</w:t>
      </w:r>
      <w:r>
        <w:rPr>
          <w:rFonts w:hint="eastAsia" w:ascii="仿宋_GB2312" w:hAnsi="楷体" w:eastAsia="仿宋_GB2312" w:cs="楷体"/>
          <w:sz w:val="32"/>
          <w:szCs w:val="32"/>
          <w:lang w:val="en-US" w:eastAsia="zh-CN"/>
        </w:rPr>
        <w:t>严格按照《条例》规定的法定时限和答复方式，查清公众所需政府信息、政策文件及其相关历史背景，规范答复文书格式，增强答复的针对性和准确性。2023年全市共办理政府信息公开申请97件，</w:t>
      </w:r>
      <w:r>
        <w:rPr>
          <w:rFonts w:hint="eastAsia" w:ascii="仿宋_GB2312" w:hAnsi="仿宋_GB2312" w:eastAsia="仿宋_GB2312" w:cs="仿宋_GB2312"/>
          <w:color w:val="auto"/>
          <w:kern w:val="2"/>
          <w:sz w:val="32"/>
          <w:szCs w:val="32"/>
          <w:lang w:val="en-US" w:eastAsia="zh-CN" w:bidi="ar-SA"/>
        </w:rPr>
        <w:t>其中64件为网上申请、33件为信函申请</w:t>
      </w:r>
      <w:r>
        <w:rPr>
          <w:rFonts w:hint="eastAsia" w:ascii="仿宋_GB2312" w:hAnsi="楷体" w:eastAsia="仿宋_GB2312" w:cs="楷体"/>
          <w:sz w:val="32"/>
          <w:szCs w:val="32"/>
          <w:lang w:val="en-US" w:eastAsia="zh-CN"/>
        </w:rPr>
        <w:t>，均在法定期限内予以答复，答复及时率100%。</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51" w:lineRule="exact"/>
        <w:ind w:right="0" w:rightChars="0" w:firstLine="640" w:firstLineChars="200"/>
        <w:jc w:val="both"/>
        <w:textAlignment w:val="auto"/>
        <w:rPr>
          <w:rFonts w:hint="default"/>
          <w:lang w:val="en-US" w:eastAsia="zh-CN"/>
        </w:rPr>
      </w:pPr>
      <w:r>
        <w:rPr>
          <w:rFonts w:hint="eastAsia" w:ascii="楷体_GB2312" w:hAnsi="楷体_GB2312" w:eastAsia="楷体_GB2312" w:cs="楷体_GB2312"/>
          <w:b w:val="0"/>
          <w:bCs/>
          <w:i w:val="0"/>
          <w:iCs w:val="0"/>
          <w:color w:val="auto"/>
          <w:kern w:val="2"/>
          <w:sz w:val="32"/>
          <w:szCs w:val="32"/>
          <w:lang w:val="en-US" w:eastAsia="zh-CN" w:bidi="ar-SA"/>
        </w:rPr>
        <w:t>（三）政府信息管理情况。</w:t>
      </w:r>
      <w:r>
        <w:rPr>
          <w:rFonts w:hint="eastAsia" w:ascii="仿宋_GB2312" w:hAnsi="楷体" w:eastAsia="仿宋_GB2312" w:cs="楷体"/>
          <w:sz w:val="32"/>
          <w:szCs w:val="32"/>
          <w:lang w:val="en-US" w:eastAsia="zh-CN"/>
        </w:rPr>
        <w:t>规范建设并动态更新定西市政府规章库，现行有效6部规章已全部上网公开，以市政府和市政府办公室名义印发的73份主动公开文件按照“三同步”要求全部上网，并提供规范统一的文字版和图片版下载链接，有效提升了政府规章发布的权威性，方便公众查阅使用。不断提升人大代表建议和政协委员提案办理工作实效，公开答复内容148件，发布市政府常务会议信息22条、市政府全体会议信息1条。</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firstLine="640" w:firstLineChars="200"/>
        <w:jc w:val="both"/>
        <w:textAlignment w:val="auto"/>
        <w:outlineLvl w:val="9"/>
        <w:rPr>
          <w:rFonts w:hint="eastAsia"/>
          <w:lang w:val="en-US" w:eastAsia="zh-CN"/>
        </w:rPr>
      </w:pPr>
      <w:r>
        <w:rPr>
          <w:rFonts w:hint="eastAsia" w:ascii="楷体_GB2312" w:hAnsi="楷体_GB2312" w:eastAsia="楷体_GB2312" w:cs="楷体_GB2312"/>
          <w:b w:val="0"/>
          <w:bCs/>
          <w:i w:val="0"/>
          <w:iCs w:val="0"/>
          <w:color w:val="auto"/>
          <w:kern w:val="2"/>
          <w:sz w:val="32"/>
          <w:szCs w:val="32"/>
          <w:lang w:val="en-US" w:eastAsia="zh-CN" w:bidi="ar-SA"/>
        </w:rPr>
        <w:t>（四）政府信息公开平台建设情况。</w:t>
      </w:r>
      <w:r>
        <w:rPr>
          <w:rFonts w:hint="eastAsia" w:ascii="仿宋_GB2312" w:hAnsi="仿宋_GB2312" w:eastAsia="仿宋_GB2312" w:cs="仿宋_GB2312"/>
          <w:color w:val="000000"/>
          <w:kern w:val="2"/>
          <w:sz w:val="32"/>
          <w:szCs w:val="32"/>
          <w:lang w:val="en-US" w:eastAsia="zh-CN" w:bidi="ar-SA"/>
        </w:rPr>
        <w:t>优化政府网站功能，与政务服务网定西子站数据互通、功能互认，对智能问答和在线交流功能进行完善，全方位升级搜索功能，提供多维度分类展现，不断提高个性化、便捷化、智能化服务水平。加强新媒体账号监管，严格开办和注销审批备案流程，将349个运行规范、保障有力的政务新媒体账号纳入全覆盖全过程常态化监管，每周发布更新预警提醒，落实错敏词和错别字问题反馈盯办立改机制，在全省抽查检查中连续4个季度实现100%合格。不断深化拓展政务公开专区服务功能，128处政务公开专区、1829行政村村务公开栏相关地址和位置信息全部上网公开，持续向公众提供政府信息便捷查询、免费取阅政府公报、信息公开申请、现场政策解读答疑群众办事痛点堵点问题收集等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楷体" w:eastAsia="仿宋_GB2312" w:cs="楷体"/>
          <w:sz w:val="32"/>
          <w:szCs w:val="32"/>
          <w:lang w:val="en-US" w:eastAsia="zh-CN"/>
        </w:rPr>
      </w:pPr>
      <w:r>
        <w:rPr>
          <w:rFonts w:hint="eastAsia" w:ascii="楷体_GB2312" w:hAnsi="楷体_GB2312" w:eastAsia="楷体_GB2312" w:cs="楷体_GB2312"/>
          <w:b w:val="0"/>
          <w:bCs/>
          <w:i w:val="0"/>
          <w:iCs w:val="0"/>
          <w:color w:val="auto"/>
          <w:kern w:val="2"/>
          <w:sz w:val="32"/>
          <w:szCs w:val="32"/>
          <w:lang w:val="en-US" w:eastAsia="zh-CN" w:bidi="ar-SA"/>
        </w:rPr>
        <w:t>（五）监督保障情况。</w:t>
      </w:r>
      <w:r>
        <w:rPr>
          <w:rFonts w:hint="eastAsia" w:ascii="仿宋_GB2312" w:hAnsi="Times New Roman" w:eastAsia="仿宋_GB2312" w:cs="仿宋_GB2312"/>
          <w:color w:val="000000"/>
          <w:kern w:val="0"/>
          <w:sz w:val="32"/>
          <w:szCs w:val="32"/>
          <w:lang w:val="en-US" w:eastAsia="zh-CN"/>
        </w:rPr>
        <w:t>制定印发《定西市政务新媒体建设管理工作细则》，修订完善《定西市政务公开工作考核办法》，</w:t>
      </w:r>
      <w:r>
        <w:rPr>
          <w:rFonts w:hint="default" w:ascii="仿宋_GB2312" w:hAnsi="Times New Roman" w:eastAsia="仿宋_GB2312" w:cs="仿宋_GB2312"/>
          <w:color w:val="000000"/>
          <w:kern w:val="0"/>
          <w:sz w:val="32"/>
          <w:szCs w:val="32"/>
          <w:lang w:val="en-US" w:eastAsia="zh-CN"/>
        </w:rPr>
        <w:t>形成了公开、发布、解读、考核全链条制度规范</w:t>
      </w:r>
      <w:r>
        <w:rPr>
          <w:rFonts w:hint="eastAsia" w:ascii="仿宋_GB2312" w:hAnsi="Times New Roman" w:eastAsia="仿宋_GB2312" w:cs="仿宋_GB2312"/>
          <w:color w:val="000000"/>
          <w:kern w:val="0"/>
          <w:sz w:val="32"/>
          <w:szCs w:val="32"/>
          <w:lang w:val="en-US" w:eastAsia="zh-CN"/>
        </w:rPr>
        <w:t>。</w:t>
      </w:r>
      <w:r>
        <w:rPr>
          <w:rFonts w:hint="eastAsia" w:ascii="仿宋_GB2312" w:hAnsi="楷体" w:eastAsia="仿宋_GB2312" w:cs="楷体"/>
          <w:sz w:val="32"/>
          <w:szCs w:val="32"/>
          <w:lang w:val="en-US" w:eastAsia="zh-CN"/>
        </w:rPr>
        <w:t>督导各县区各部门</w:t>
      </w:r>
      <w:r>
        <w:rPr>
          <w:rFonts w:hint="eastAsia" w:ascii="仿宋_GB2312" w:hAnsi="仿宋_GB2312" w:eastAsia="仿宋_GB2312" w:cs="仿宋_GB2312"/>
          <w:color w:val="000000"/>
          <w:kern w:val="2"/>
          <w:sz w:val="32"/>
          <w:szCs w:val="32"/>
          <w:lang w:val="en-US" w:eastAsia="zh-CN" w:bidi="ar-SA"/>
        </w:rPr>
        <w:t>按照“六有”（有领导分管、专人负责，有工作计划、长效制度，有发布平台、实效实绩）标准搭建班子、开展工作，</w:t>
      </w:r>
      <w:r>
        <w:rPr>
          <w:rFonts w:hint="default" w:ascii="仿宋_GB2312" w:hAnsi="仿宋_GB2312" w:eastAsia="仿宋_GB2312" w:cs="仿宋_GB2312"/>
          <w:color w:val="000000"/>
          <w:kern w:val="2"/>
          <w:sz w:val="32"/>
          <w:szCs w:val="32"/>
          <w:lang w:val="en-US" w:eastAsia="zh-CN" w:bidi="ar-SA"/>
        </w:rPr>
        <w:t>形成了</w:t>
      </w:r>
      <w:r>
        <w:rPr>
          <w:rFonts w:hint="eastAsia" w:ascii="仿宋_GB2312" w:hAnsi="仿宋_GB2312" w:eastAsia="仿宋_GB2312" w:cs="仿宋_GB2312"/>
          <w:color w:val="000000"/>
          <w:kern w:val="2"/>
          <w:sz w:val="32"/>
          <w:szCs w:val="32"/>
          <w:lang w:val="en-US" w:eastAsia="zh-CN" w:bidi="ar-SA"/>
        </w:rPr>
        <w:t>自上而下、</w:t>
      </w:r>
      <w:r>
        <w:rPr>
          <w:rFonts w:hint="default" w:ascii="仿宋_GB2312" w:hAnsi="仿宋_GB2312" w:eastAsia="仿宋_GB2312" w:cs="仿宋_GB2312"/>
          <w:color w:val="000000"/>
          <w:kern w:val="2"/>
          <w:sz w:val="32"/>
          <w:szCs w:val="32"/>
          <w:lang w:val="en-US" w:eastAsia="zh-CN" w:bidi="ar-SA"/>
        </w:rPr>
        <w:t>多方参与、各负其责、齐抓共管的工作局面。</w:t>
      </w:r>
      <w:r>
        <w:rPr>
          <w:rFonts w:hint="eastAsia" w:ascii="仿宋_GB2312" w:hAnsi="Times New Roman" w:eastAsia="仿宋_GB2312" w:cs="仿宋_GB2312"/>
          <w:color w:val="000000"/>
          <w:kern w:val="0"/>
          <w:sz w:val="32"/>
          <w:szCs w:val="32"/>
          <w:lang w:val="en-US" w:eastAsia="zh-CN"/>
        </w:rPr>
        <w:t>常态化执行“周安排、月调度、季督考、年考核”工作机制，召开2023年市政务公开领导小组会议暨全市政务公开工作推进会议，定期组织召开视频调度和业务培训会议4次，深入临洮县现场督办群众关切事项3次。进一步完善“量化打分＋书面通报”双督考办法，将政务公开纳入党政履责管理督考监一体化平台，每季度对照考核指标和赋分标准进行打分。同时，依托第三方技术力量对政府网站和政务新媒体运行维护情况实行</w:t>
      </w:r>
      <w:r>
        <w:rPr>
          <w:rFonts w:hint="default" w:ascii="仿宋_GB2312" w:hAnsi="Times New Roman" w:eastAsia="仿宋_GB2312" w:cs="仿宋_GB2312"/>
          <w:color w:val="000000"/>
          <w:kern w:val="0"/>
          <w:sz w:val="32"/>
          <w:szCs w:val="32"/>
          <w:lang w:val="en-US" w:eastAsia="zh-CN"/>
        </w:rPr>
        <w:t>全天候</w:t>
      </w:r>
      <w:r>
        <w:rPr>
          <w:rFonts w:hint="eastAsia" w:ascii="仿宋_GB2312" w:hAnsi="Times New Roman" w:eastAsia="仿宋_GB2312" w:cs="仿宋_GB2312"/>
          <w:color w:val="000000"/>
          <w:kern w:val="0"/>
          <w:sz w:val="32"/>
          <w:szCs w:val="32"/>
          <w:lang w:val="en-US" w:eastAsia="zh-CN"/>
        </w:rPr>
        <w:t>全过程全覆盖监测，全年下发专项通报4期，点名道姓指出问题短板，有效解决了政务公开到达率不高、公开内容与需求不匹配等问题。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方正黑体简体" w:hAnsi="方正黑体简体" w:eastAsia="方正黑体简体" w:cs="方正黑体简体"/>
          <w:b w:val="0"/>
          <w:bCs w:val="0"/>
          <w:sz w:val="32"/>
          <w:szCs w:val="32"/>
        </w:rPr>
      </w:pPr>
      <w:r>
        <w:rPr>
          <w:rFonts w:hint="eastAsia" w:ascii="方正黑体简体" w:hAnsi="方正黑体简体" w:eastAsia="方正黑体简体" w:cs="方正黑体简体"/>
          <w:b w:val="0"/>
          <w:bCs w:val="0"/>
          <w:sz w:val="32"/>
          <w:szCs w:val="32"/>
        </w:rPr>
        <w:t>二、主动公开政府信息情况</w:t>
      </w:r>
    </w:p>
    <w:tbl>
      <w:tblPr>
        <w:tblStyle w:val="5"/>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35"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2</w:t>
            </w:r>
          </w:p>
        </w:tc>
        <w:tc>
          <w:tcPr>
            <w:tcW w:w="2435"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7</w:t>
            </w:r>
          </w:p>
        </w:tc>
        <w:tc>
          <w:tcPr>
            <w:tcW w:w="2435"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w:t>
            </w:r>
          </w:p>
        </w:tc>
        <w:tc>
          <w:tcPr>
            <w:tcW w:w="2435"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default" w:ascii="宋体" w:eastAsia="宋体"/>
                <w:sz w:val="24"/>
                <w:szCs w:val="24"/>
                <w:lang w:val="en-US" w:eastAsia="zh-CN"/>
              </w:rPr>
            </w:pPr>
            <w:r>
              <w:rPr>
                <w:rFonts w:hint="eastAsia" w:ascii="宋体" w:hAnsi="宋体" w:eastAsia="宋体" w:cs="宋体"/>
                <w:color w:val="000000"/>
                <w:kern w:val="0"/>
                <w:sz w:val="20"/>
                <w:szCs w:val="20"/>
                <w:lang w:val="en-US" w:eastAsia="zh-CN" w:bidi="ar"/>
              </w:rPr>
              <w:t>36592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590681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lang w:val="en-US" w:eastAsia="zh-CN"/>
              </w:rPr>
            </w:pPr>
            <w:r>
              <w:rPr>
                <w:rFonts w:hint="eastAsia" w:ascii="宋体" w:hAnsi="宋体" w:eastAsia="宋体" w:cs="宋体"/>
                <w:color w:val="000000"/>
                <w:kern w:val="0"/>
                <w:sz w:val="20"/>
                <w:szCs w:val="20"/>
                <w:lang w:val="en-US" w:eastAsia="zh-CN" w:bidi="ar"/>
              </w:rPr>
              <w:t>4636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top w:w="0" w:type="dxa"/>
              <w:left w:w="57" w:type="dxa"/>
              <w:bottom w:w="0" w:type="dxa"/>
              <w:right w:w="57" w:type="dxa"/>
            </w:tcMar>
            <w:vAlign w:val="center"/>
          </w:tcPr>
          <w:p>
            <w:pPr>
              <w:jc w:val="center"/>
              <w:rPr>
                <w:rFonts w:hint="default" w:ascii="宋体" w:eastAsia="宋体"/>
                <w:sz w:val="24"/>
                <w:szCs w:val="24"/>
                <w:lang w:val="en-US" w:eastAsia="zh-CN"/>
              </w:rPr>
            </w:pPr>
            <w:r>
              <w:rPr>
                <w:rFonts w:hint="eastAsia" w:ascii="宋体" w:hAnsi="宋体" w:eastAsia="宋体" w:cs="宋体"/>
                <w:color w:val="000000"/>
                <w:kern w:val="0"/>
                <w:sz w:val="20"/>
                <w:szCs w:val="20"/>
                <w:lang w:val="en-US" w:eastAsia="zh-CN" w:bidi="ar"/>
              </w:rPr>
              <w:t>25144</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宋体" w:hAnsi="宋体" w:eastAsia="宋体" w:cs="宋体"/>
        </w:rPr>
      </w:pPr>
      <w:r>
        <w:rPr>
          <w:rFonts w:hint="eastAsia" w:ascii="方正黑体简体" w:hAnsi="方正黑体简体" w:eastAsia="方正黑体简体" w:cs="方正黑体简体"/>
          <w:b w:val="0"/>
          <w:bCs w:val="0"/>
          <w:sz w:val="32"/>
          <w:szCs w:val="32"/>
        </w:rPr>
        <w:t>三、收到和处理政府信息公开申请情况</w:t>
      </w: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66"/>
        <w:gridCol w:w="943"/>
        <w:gridCol w:w="3217"/>
        <w:gridCol w:w="691"/>
        <w:gridCol w:w="688"/>
        <w:gridCol w:w="688"/>
        <w:gridCol w:w="688"/>
        <w:gridCol w:w="688"/>
        <w:gridCol w:w="688"/>
        <w:gridCol w:w="69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6" w:type="dxa"/>
            <w:gridSpan w:val="3"/>
            <w:vMerge w:val="restart"/>
            <w:tcBorders>
              <w:top w:val="single" w:color="auto" w:sz="8" w:space="0"/>
              <w:left w:val="single" w:color="auto" w:sz="8" w:space="0"/>
              <w:bottom w:val="outset"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楷体" w:hAnsi="楷体" w:eastAsia="楷体" w:cs="楷体"/>
                <w:kern w:val="0"/>
                <w:sz w:val="20"/>
                <w:szCs w:val="20"/>
                <w:lang w:val="en-US" w:eastAsia="zh-CN" w:bidi="ar"/>
              </w:rPr>
              <w:t>（本列数据的勾稽关系为：第一项加第二项之和，等于第三项加第四项之和）</w:t>
            </w:r>
          </w:p>
        </w:tc>
        <w:tc>
          <w:tcPr>
            <w:tcW w:w="4822" w:type="dxa"/>
            <w:gridSpan w:val="7"/>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691" w:type="dxa"/>
            <w:vMerge w:val="restart"/>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91" w:type="dxa"/>
            <w:vMerge w:val="restart"/>
            <w:tcBorders>
              <w:top w:val="single" w:color="auto" w:sz="8" w:space="0"/>
              <w:left w:val="nil"/>
              <w:bottom w:val="outset"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691" w:type="dxa"/>
            <w:vMerge w:val="continue"/>
            <w:tcBorders>
              <w:top w:val="nil"/>
              <w:left w:val="nil"/>
              <w:bottom w:val="single"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91" w:type="dxa"/>
            <w:vMerge w:val="continue"/>
            <w:tcBorders>
              <w:top w:val="single" w:color="auto" w:sz="8" w:space="0"/>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6" w:type="dxa"/>
            <w:gridSpan w:val="3"/>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default" w:ascii="宋体" w:eastAsia="宋体"/>
                <w:sz w:val="24"/>
                <w:szCs w:val="24"/>
                <w:lang w:val="en-US" w:eastAsia="zh-CN"/>
              </w:rPr>
            </w:pPr>
            <w:r>
              <w:rPr>
                <w:rFonts w:hint="eastAsia" w:ascii="宋体"/>
                <w:sz w:val="24"/>
                <w:szCs w:val="24"/>
                <w:lang w:val="en-US" w:eastAsia="zh-CN"/>
              </w:rPr>
              <w:t>88</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7</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2</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default" w:ascii="宋体" w:eastAsia="宋体"/>
                <w:sz w:val="24"/>
                <w:szCs w:val="24"/>
                <w:lang w:val="en-US" w:eastAsia="zh-CN"/>
              </w:rPr>
            </w:pPr>
            <w:r>
              <w:rPr>
                <w:rFonts w:hint="eastAsia" w:ascii="宋体"/>
                <w:sz w:val="24"/>
                <w:szCs w:val="24"/>
                <w:lang w:val="en-US" w:eastAsia="zh-CN"/>
              </w:rPr>
              <w:t>97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6" w:type="dxa"/>
            <w:gridSpan w:val="3"/>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restart"/>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0" w:type="dxa"/>
            <w:gridSpan w:val="2"/>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default" w:ascii="宋体" w:eastAsia="宋体"/>
                <w:sz w:val="24"/>
                <w:szCs w:val="24"/>
                <w:lang w:val="en-US" w:eastAsia="zh-CN"/>
              </w:rPr>
            </w:pPr>
            <w:r>
              <w:rPr>
                <w:rFonts w:hint="eastAsia" w:ascii="宋体"/>
                <w:sz w:val="24"/>
                <w:szCs w:val="24"/>
                <w:lang w:val="en-US" w:eastAsia="zh-CN"/>
              </w:rPr>
              <w:t>26</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2</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default" w:ascii="宋体" w:eastAsia="宋体"/>
                <w:sz w:val="24"/>
                <w:szCs w:val="24"/>
                <w:lang w:val="en-US" w:eastAsia="zh-CN"/>
              </w:rPr>
            </w:pPr>
            <w:r>
              <w:rPr>
                <w:rFonts w:hint="eastAsia" w:ascii="宋体" w:eastAsia="宋体"/>
                <w:sz w:val="24"/>
                <w:szCs w:val="24"/>
                <w:lang w:val="en-US" w:eastAsia="zh-CN"/>
              </w:rPr>
              <w:t>29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4160" w:type="dxa"/>
            <w:gridSpan w:val="2"/>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default" w:ascii="宋体" w:eastAsia="宋体"/>
                <w:sz w:val="24"/>
                <w:szCs w:val="24"/>
                <w:lang w:val="en-US" w:eastAsia="zh-CN"/>
              </w:rPr>
            </w:pPr>
            <w:r>
              <w:rPr>
                <w:rFonts w:hint="eastAsia" w:ascii="宋体"/>
                <w:sz w:val="24"/>
                <w:szCs w:val="24"/>
                <w:lang w:val="en-US" w:eastAsia="zh-CN"/>
              </w:rPr>
              <w:t>43</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2</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default" w:ascii="宋体" w:eastAsia="宋体"/>
                <w:sz w:val="24"/>
                <w:szCs w:val="24"/>
                <w:lang w:val="en-US" w:eastAsia="zh-CN"/>
              </w:rPr>
            </w:pPr>
            <w:r>
              <w:rPr>
                <w:rFonts w:hint="eastAsia" w:ascii="宋体"/>
                <w:sz w:val="24"/>
                <w:szCs w:val="24"/>
                <w:lang w:val="en-US" w:eastAsia="zh-CN"/>
              </w:rPr>
              <w:t>46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2</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9</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2</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default" w:ascii="宋体" w:eastAsia="宋体"/>
                <w:sz w:val="24"/>
                <w:szCs w:val="24"/>
                <w:lang w:val="en-US" w:eastAsia="zh-CN"/>
              </w:rPr>
            </w:pPr>
            <w:r>
              <w:rPr>
                <w:rFonts w:hint="eastAsia" w:ascii="宋体"/>
                <w:sz w:val="24"/>
                <w:szCs w:val="24"/>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2</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default"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outset"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91" w:type="dxa"/>
            <w:tcBorders>
              <w:top w:val="nil"/>
              <w:left w:val="nil"/>
              <w:bottom w:val="outset"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outset"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rPr>
                <w:rFonts w:hint="eastAsia" w:ascii="宋体"/>
                <w:sz w:val="24"/>
                <w:szCs w:val="24"/>
              </w:rPr>
            </w:pPr>
          </w:p>
        </w:tc>
        <w:tc>
          <w:tcPr>
            <w:tcW w:w="4160" w:type="dxa"/>
            <w:gridSpan w:val="2"/>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default" w:ascii="宋体" w:eastAsia="宋体"/>
                <w:sz w:val="24"/>
                <w:szCs w:val="24"/>
                <w:lang w:val="en-US" w:eastAsia="zh-CN"/>
              </w:rPr>
            </w:pPr>
            <w:r>
              <w:rPr>
                <w:rFonts w:hint="eastAsia" w:ascii="宋体"/>
                <w:sz w:val="24"/>
                <w:szCs w:val="24"/>
                <w:lang w:val="en-US" w:eastAsia="zh-CN"/>
              </w:rPr>
              <w:t xml:space="preserve"> 88</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7</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2</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jc w:val="center"/>
              <w:rPr>
                <w:rFonts w:hint="default" w:ascii="宋体" w:eastAsia="宋体"/>
                <w:sz w:val="24"/>
                <w:szCs w:val="24"/>
                <w:lang w:val="en-US" w:eastAsia="zh-CN"/>
              </w:rPr>
            </w:pPr>
            <w:r>
              <w:rPr>
                <w:rFonts w:hint="eastAsia" w:ascii="宋体"/>
                <w:sz w:val="24"/>
                <w:szCs w:val="24"/>
                <w:lang w:val="en-US" w:eastAsia="zh-CN"/>
              </w:rPr>
              <w:t>97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6" w:type="dxa"/>
            <w:gridSpan w:val="3"/>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1"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jc w:val="center"/>
              <w:rPr>
                <w:rFonts w:hint="eastAsia" w:ascii="宋体" w:eastAsia="宋体"/>
                <w:sz w:val="24"/>
                <w:szCs w:val="24"/>
                <w:lang w:val="en-US" w:eastAsia="zh-CN"/>
              </w:rPr>
            </w:pPr>
            <w:r>
              <w:rPr>
                <w:rFonts w:hint="eastAsia" w:ascii="宋体"/>
                <w:sz w:val="24"/>
                <w:szCs w:val="24"/>
                <w:lang w:val="en-US" w:eastAsia="zh-CN"/>
              </w:rPr>
              <w:t>0</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sz w:val="24"/>
          <w:szCs w:val="24"/>
        </w:rPr>
      </w:pPr>
      <w:r>
        <w:rPr>
          <w:rFonts w:hint="eastAsia" w:ascii="方正黑体简体" w:hAnsi="方正黑体简体" w:eastAsia="方正黑体简体" w:cs="方正黑体简体"/>
          <w:b w:val="0"/>
          <w:bCs w:val="0"/>
          <w:sz w:val="32"/>
          <w:szCs w:val="32"/>
        </w:rPr>
        <w:t>四、政府信息公开行政复议、行政诉讼情况</w:t>
      </w: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9"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9"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649"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64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default" w:ascii="宋体" w:eastAsia="宋体"/>
                <w:sz w:val="24"/>
                <w:szCs w:val="24"/>
                <w:lang w:val="en-US" w:eastAsia="zh-CN"/>
              </w:rPr>
            </w:pPr>
            <w:r>
              <w:rPr>
                <w:rFonts w:hint="eastAsia" w:ascii="宋体"/>
                <w:sz w:val="24"/>
                <w:szCs w:val="24"/>
                <w:lang w:val="en-US" w:eastAsia="zh-CN"/>
              </w:rPr>
              <w:t>3</w:t>
            </w:r>
          </w:p>
        </w:tc>
        <w:tc>
          <w:tcPr>
            <w:tcW w:w="64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1</w:t>
            </w:r>
          </w:p>
        </w:tc>
        <w:tc>
          <w:tcPr>
            <w:tcW w:w="64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3</w:t>
            </w:r>
          </w:p>
        </w:tc>
        <w:tc>
          <w:tcPr>
            <w:tcW w:w="64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6</w:t>
            </w:r>
          </w:p>
        </w:tc>
        <w:tc>
          <w:tcPr>
            <w:tcW w:w="64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方正黑体简体" w:hAnsi="方正黑体简体" w:eastAsia="方正黑体简体" w:cs="方正黑体简体"/>
          <w:b w:val="0"/>
          <w:bCs w:val="0"/>
          <w:sz w:val="32"/>
          <w:szCs w:val="32"/>
        </w:rPr>
      </w:pPr>
      <w:r>
        <w:rPr>
          <w:rFonts w:hint="eastAsia" w:ascii="方正黑体简体" w:hAnsi="方正黑体简体" w:eastAsia="方正黑体简体" w:cs="方正黑体简体"/>
          <w:b w:val="0"/>
          <w:bCs w:val="0"/>
          <w:sz w:val="32"/>
          <w:szCs w:val="32"/>
        </w:rPr>
        <w:t>五、存在的主要问题及改进情况</w:t>
      </w:r>
    </w:p>
    <w:p>
      <w:pPr>
        <w:pStyle w:val="4"/>
        <w:keepNext w:val="0"/>
        <w:keepLines w:val="0"/>
        <w:pageBreakBefore w:val="0"/>
        <w:widowControl w:val="0"/>
        <w:kinsoku/>
        <w:wordWrap/>
        <w:overflowPunct/>
        <w:topLinePunct w:val="0"/>
        <w:bidi w:val="0"/>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一是政务公开“以公开促落实”的功能有待进一步强化。部分单位存在“上网即完成公开”的思想，尚未形成以公开助推政策落地的工作机制。二是政策发布的集成度有待进一步提高。一些惠企利民政策分散在多个职能部门，缺乏系统集成，企业群众查询不便。三是政策解读质量有待进一步提升。政策发布虽然实现了“应解读尽解读”，但解读的针对性、实效性还不强，在帮助企业群众读懂政策、使用政策方面，还没有真正发挥好作用。</w:t>
      </w:r>
      <w:r>
        <w:rPr>
          <w:rFonts w:hint="eastAsia" w:ascii="仿宋_GB2312" w:eastAsia="仿宋_GB2312" w:cs="仿宋_GB2312"/>
          <w:color w:val="000000"/>
          <w:kern w:val="0"/>
          <w:sz w:val="32"/>
          <w:szCs w:val="32"/>
          <w:lang w:val="en-US" w:eastAsia="zh-CN" w:bidi="ar-SA"/>
        </w:rPr>
        <w:t>下一步，将进一步加强组织领导、层层压实责任、创新工作举措、加强平台建设、健全运行机制，狠抓任务落实，确保各类政务信息全面、及时、准确公开，通过政务新媒体等掌上传播媒介，发布惠民政策、热点实事，加强回应实效，提高公众获知、查阅、下载、利用相关政府信息的便利度，同时进一步加强和改进政策发布解读回应工作，更加注重对政策背景、政策目的、重要举措等方面的实质性解读，提升政策解读的精准性、实效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方正黑体简体" w:hAnsi="方正黑体简体" w:eastAsia="方正黑体简体" w:cs="方正黑体简体"/>
          <w:b w:val="0"/>
          <w:bCs w:val="0"/>
          <w:sz w:val="32"/>
          <w:szCs w:val="32"/>
        </w:rPr>
      </w:pPr>
      <w:r>
        <w:rPr>
          <w:rFonts w:hint="eastAsia" w:ascii="方正黑体简体" w:hAnsi="方正黑体简体" w:eastAsia="方正黑体简体" w:cs="方正黑体简体"/>
          <w:b w:val="0"/>
          <w:bCs w:val="0"/>
          <w:sz w:val="32"/>
          <w:szCs w:val="32"/>
        </w:rPr>
        <w:t>六、其他需要报告的事项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宋体"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sz w:val="32"/>
          <w:szCs w:val="32"/>
          <w:lang w:val="en-US" w:eastAsia="zh-CN"/>
        </w:rPr>
        <w:t>依据《政府信息公开信息处理费管理办法》规定，本年度本机关未收取政府信息公开信息处理费。本 报 告 电 子 版 可在定西市人民政府门户网站（www.dingxi.gov.cn）查阅下载。如有疑问或意见建议，请与定西市政务公开领导小组办公室联系，联系电话：0932-8228865。</w:t>
      </w:r>
    </w:p>
    <w:p>
      <w:pPr>
        <w:rPr>
          <w:rFonts w:hint="eastAsia"/>
          <w:lang w:val="en-US" w:eastAsia="zh-CN"/>
        </w:rPr>
      </w:pPr>
    </w:p>
    <w:p/>
    <w:sectPr>
      <w:footerReference r:id="rId3" w:type="default"/>
      <w:footerReference r:id="rId4" w:type="even"/>
      <w:pgSz w:w="11906" w:h="16838"/>
      <w:pgMar w:top="1474" w:right="1417" w:bottom="1814" w:left="1474" w:header="851" w:footer="1191" w:gutter="0"/>
      <w:cols w:space="720" w:num="1"/>
      <w:titlePg/>
      <w:docGrid w:type="lines" w:linePitch="6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rPr>
        <w:rFonts w:hint="eastAsia" w:ascii="仿宋_GB2312" w:hAnsi="仿宋_GB2312" w:eastAsia="仿宋_GB2312" w:cs="仿宋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rStyle w:val="7"/>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Style w:val="7"/>
                              <w:rFonts w:hint="eastAsia" w:ascii="仿宋_GB2312" w:hAnsi="仿宋_GB2312" w:eastAsia="仿宋_GB2312" w:cs="仿宋_GB2312"/>
                              <w:sz w:val="28"/>
                              <w:szCs w:val="28"/>
                            </w:rPr>
                            <w:instrText xml:space="preserve">PAGE  </w:instrText>
                          </w:r>
                          <w:r>
                            <w:rPr>
                              <w:rFonts w:hint="eastAsia" w:ascii="仿宋_GB2312" w:hAnsi="仿宋_GB2312" w:eastAsia="仿宋_GB2312" w:cs="仿宋_GB2312"/>
                              <w:sz w:val="28"/>
                              <w:szCs w:val="28"/>
                            </w:rPr>
                            <w:fldChar w:fldCharType="separate"/>
                          </w:r>
                          <w:r>
                            <w:rPr>
                              <w:rStyle w:val="7"/>
                              <w:rFonts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3"/>
                      <w:rPr>
                        <w:rStyle w:val="7"/>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Style w:val="7"/>
                        <w:rFonts w:hint="eastAsia" w:ascii="仿宋_GB2312" w:hAnsi="仿宋_GB2312" w:eastAsia="仿宋_GB2312" w:cs="仿宋_GB2312"/>
                        <w:sz w:val="28"/>
                        <w:szCs w:val="28"/>
                      </w:rPr>
                      <w:instrText xml:space="preserve">PAGE  </w:instrText>
                    </w:r>
                    <w:r>
                      <w:rPr>
                        <w:rFonts w:hint="eastAsia" w:ascii="仿宋_GB2312" w:hAnsi="仿宋_GB2312" w:eastAsia="仿宋_GB2312" w:cs="仿宋_GB2312"/>
                        <w:sz w:val="28"/>
                        <w:szCs w:val="28"/>
                      </w:rPr>
                      <w:fldChar w:fldCharType="separate"/>
                    </w:r>
                    <w:r>
                      <w:rPr>
                        <w:rStyle w:val="7"/>
                        <w:rFonts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- 1 -</w:t>
    </w:r>
    <w: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xZmM4NTc0ZTU3YzExM2M4ZDVkNDdmMDZkZTBhZWEifQ=="/>
  </w:docVars>
  <w:rsids>
    <w:rsidRoot w:val="00000000"/>
    <w:rsid w:val="2B074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99"/>
    <w:pPr>
      <w:spacing w:beforeAutospacing="1" w:afterAutospacing="1"/>
      <w:jc w:val="left"/>
    </w:pPr>
    <w:rPr>
      <w:kern w:val="0"/>
      <w:sz w:val="24"/>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2024-03-08T04:14:34Z</dcterms:created>
  <dc:creator>Administrator</dc:creator>
  <cp:lastModifiedBy>马贝贝不停蹄</cp:lastModifiedBy>
  <dcterms:modified xsi:type="dcterms:W3CDTF">2024-03-08T04:45:15Z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E5BF2F248932401799EFEBA93D1FED70_12</vt:lpwstr>
  </property>
</Properties>
</file>